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8967" w14:textId="77777777" w:rsidR="00DB52CB" w:rsidRPr="00DB52CB" w:rsidRDefault="00DB52CB" w:rsidP="00DB52C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B52CB">
        <w:rPr>
          <w:rFonts w:asciiTheme="majorHAnsi" w:hAnsiTheme="majorHAnsi" w:cstheme="majorHAnsi"/>
          <w:b/>
          <w:bCs/>
          <w:sz w:val="32"/>
          <w:szCs w:val="32"/>
        </w:rPr>
        <w:t>REGIMENTO PARA CENTRAIS MULTIUSUÁRIOS USP</w:t>
      </w:r>
    </w:p>
    <w:p w14:paraId="62A1FC46" w14:textId="77777777" w:rsidR="00DB52CB" w:rsidRPr="00DB52CB" w:rsidRDefault="00DB52CB" w:rsidP="00DB52CB">
      <w:pPr>
        <w:jc w:val="both"/>
        <w:rPr>
          <w:rFonts w:cstheme="minorHAnsi"/>
          <w:sz w:val="24"/>
          <w:szCs w:val="24"/>
        </w:rPr>
      </w:pPr>
    </w:p>
    <w:p w14:paraId="76D332EF" w14:textId="306B6166" w:rsidR="00DB52CB" w:rsidRPr="00DB52CB" w:rsidRDefault="00DB52CB" w:rsidP="00DB52CB">
      <w:pPr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 xml:space="preserve">REGIMENTO DA CENTRAL MULTIUSUÁRIOS </w:t>
      </w:r>
      <w:r w:rsidRPr="00DB52CB">
        <w:rPr>
          <w:rFonts w:cstheme="minorHAnsi"/>
          <w:sz w:val="24"/>
          <w:szCs w:val="24"/>
          <w:highlight w:val="green"/>
        </w:rPr>
        <w:t>(NOME DA CENTRAL)</w:t>
      </w:r>
    </w:p>
    <w:p w14:paraId="1F55E24D" w14:textId="77777777" w:rsidR="00DB52CB" w:rsidRPr="00DB52CB" w:rsidRDefault="00DB52CB" w:rsidP="00DB52CB">
      <w:pPr>
        <w:jc w:val="both"/>
        <w:rPr>
          <w:rFonts w:cstheme="minorHAnsi"/>
          <w:sz w:val="24"/>
          <w:szCs w:val="24"/>
        </w:rPr>
      </w:pPr>
    </w:p>
    <w:p w14:paraId="07A4A1B8" w14:textId="3A995AB1" w:rsidR="00DB52CB" w:rsidRPr="00DB52CB" w:rsidRDefault="00DB52CB" w:rsidP="00DB52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b/>
          <w:bCs/>
          <w:sz w:val="24"/>
          <w:szCs w:val="24"/>
        </w:rPr>
        <w:t>Artigo 1º</w:t>
      </w:r>
      <w:r w:rsidRPr="00DB52CB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A Central Multiusuários (</w:t>
      </w:r>
      <w:r w:rsidRPr="00DB52CB">
        <w:rPr>
          <w:rFonts w:cstheme="minorHAnsi"/>
          <w:sz w:val="24"/>
          <w:szCs w:val="24"/>
          <w:highlight w:val="green"/>
        </w:rPr>
        <w:t>NOME DA CENTRAL</w:t>
      </w:r>
      <w:r w:rsidRPr="00DB52CB">
        <w:rPr>
          <w:rFonts w:cstheme="minorHAnsi"/>
          <w:sz w:val="24"/>
          <w:szCs w:val="24"/>
        </w:rPr>
        <w:t>), sediada</w:t>
      </w:r>
      <w:r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na (</w:t>
      </w:r>
      <w:r w:rsidRPr="00DB52CB">
        <w:rPr>
          <w:rFonts w:cstheme="minorHAnsi"/>
          <w:sz w:val="24"/>
          <w:szCs w:val="24"/>
          <w:highlight w:val="green"/>
        </w:rPr>
        <w:t>NOME DA UNIDADE</w:t>
      </w:r>
      <w:r w:rsidRPr="00DB52CB">
        <w:rPr>
          <w:rFonts w:cstheme="minorHAnsi"/>
          <w:sz w:val="24"/>
          <w:szCs w:val="24"/>
        </w:rPr>
        <w:t>), é uma instalação de Apoio à Pesquisa que congrega equipamentos e que oferece serviços aos usuários executados (</w:t>
      </w:r>
      <w:r w:rsidRPr="00DB52CB">
        <w:rPr>
          <w:rFonts w:cstheme="minorHAnsi"/>
          <w:sz w:val="24"/>
          <w:szCs w:val="24"/>
          <w:highlight w:val="green"/>
        </w:rPr>
        <w:t>por técnicos especialistas</w:t>
      </w:r>
      <w:r w:rsidRPr="00DB52CB">
        <w:rPr>
          <w:rFonts w:cstheme="minorHAnsi"/>
          <w:sz w:val="24"/>
          <w:szCs w:val="24"/>
          <w:highlight w:val="green"/>
        </w:rPr>
        <w:t xml:space="preserve"> </w:t>
      </w:r>
      <w:r w:rsidRPr="00DB52CB">
        <w:rPr>
          <w:rFonts w:cstheme="minorHAnsi"/>
          <w:sz w:val="24"/>
          <w:szCs w:val="24"/>
          <w:highlight w:val="green"/>
        </w:rPr>
        <w:t>// pelo próprio usuário após treinamento</w:t>
      </w:r>
      <w:r w:rsidRPr="00DB52CB">
        <w:rPr>
          <w:rFonts w:cstheme="minorHAnsi"/>
          <w:sz w:val="24"/>
          <w:szCs w:val="24"/>
        </w:rPr>
        <w:t>), com o objetivo de otimizar o uso desses equipamentos.</w:t>
      </w:r>
    </w:p>
    <w:p w14:paraId="1CDF16BB" w14:textId="459EEBC9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b/>
          <w:bCs/>
          <w:sz w:val="24"/>
          <w:szCs w:val="24"/>
        </w:rPr>
        <w:t>Artigo 2º</w:t>
      </w:r>
      <w:r w:rsidRPr="00DB52CB">
        <w:rPr>
          <w:rFonts w:cstheme="minorHAnsi"/>
          <w:sz w:val="24"/>
          <w:szCs w:val="24"/>
        </w:rPr>
        <w:t xml:space="preserve"> ‐ Os equipamentos que fazem parte da Central (</w:t>
      </w:r>
      <w:r w:rsidRPr="00DB52CB">
        <w:rPr>
          <w:rFonts w:cstheme="minorHAnsi"/>
          <w:sz w:val="24"/>
          <w:szCs w:val="24"/>
          <w:highlight w:val="green"/>
        </w:rPr>
        <w:t>NOME DA CENTRAL</w:t>
      </w:r>
      <w:r w:rsidRPr="00DB52CB">
        <w:rPr>
          <w:rFonts w:cstheme="minorHAnsi"/>
          <w:sz w:val="24"/>
          <w:szCs w:val="24"/>
        </w:rPr>
        <w:t>) estão listados no sistema eletrônico da Pró‐Reitoria de Pesquisa e apresentam número de patrimônio USP.</w:t>
      </w:r>
    </w:p>
    <w:p w14:paraId="30A9FF78" w14:textId="03724047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b/>
          <w:bCs/>
          <w:sz w:val="24"/>
          <w:szCs w:val="24"/>
        </w:rPr>
        <w:t>Artigo 3º</w:t>
      </w:r>
      <w:r w:rsidRPr="00DB52CB">
        <w:rPr>
          <w:rFonts w:cstheme="minorHAnsi"/>
          <w:sz w:val="24"/>
          <w:szCs w:val="24"/>
        </w:rPr>
        <w:t xml:space="preserve"> -Novos equipamentos adquiridos pela unidade sede ou por outras unidades da USP (</w:t>
      </w:r>
      <w:r w:rsidRPr="00DB52CB">
        <w:rPr>
          <w:rFonts w:cstheme="minorHAnsi"/>
          <w:sz w:val="24"/>
          <w:szCs w:val="24"/>
          <w:highlight w:val="green"/>
        </w:rPr>
        <w:t>NOME DA (S) UNIDADE(S</w:t>
      </w:r>
      <w:r w:rsidRPr="00DB52CB">
        <w:rPr>
          <w:rFonts w:cstheme="minorHAnsi"/>
          <w:sz w:val="24"/>
          <w:szCs w:val="24"/>
        </w:rPr>
        <w:t>)), poderão ser vinculados à Central Multiusuários (</w:t>
      </w:r>
      <w:r w:rsidRPr="00DB52CB">
        <w:rPr>
          <w:rFonts w:cstheme="minorHAnsi"/>
          <w:sz w:val="24"/>
          <w:szCs w:val="24"/>
          <w:highlight w:val="green"/>
        </w:rPr>
        <w:t>NOME DA CENTRAL</w:t>
      </w:r>
      <w:r w:rsidRPr="00DB52CB">
        <w:rPr>
          <w:rFonts w:cstheme="minorHAnsi"/>
          <w:sz w:val="24"/>
          <w:szCs w:val="24"/>
        </w:rPr>
        <w:t>) após aprovação da Comissão</w:t>
      </w:r>
      <w:r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Gestora, referendada pela Congregação da Unidade.</w:t>
      </w:r>
    </w:p>
    <w:p w14:paraId="7D01F627" w14:textId="741F4473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b/>
          <w:bCs/>
          <w:sz w:val="24"/>
          <w:szCs w:val="24"/>
        </w:rPr>
        <w:t>Artigo 4º</w:t>
      </w:r>
      <w:r w:rsidRPr="00DB52CB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A organização administrativa da Central Multiusuários está estruturada da seguinte forma:</w:t>
      </w:r>
    </w:p>
    <w:p w14:paraId="4F4D36AB" w14:textId="77777777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I.</w:t>
      </w:r>
      <w:r w:rsidRPr="00DB52CB">
        <w:rPr>
          <w:rFonts w:cstheme="minorHAnsi"/>
          <w:sz w:val="24"/>
          <w:szCs w:val="24"/>
        </w:rPr>
        <w:tab/>
        <w:t>Comitê Gestor</w:t>
      </w:r>
    </w:p>
    <w:p w14:paraId="60372BBD" w14:textId="77777777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II.</w:t>
      </w:r>
      <w:r w:rsidRPr="00DB52CB">
        <w:rPr>
          <w:rFonts w:cstheme="minorHAnsi"/>
          <w:sz w:val="24"/>
          <w:szCs w:val="24"/>
        </w:rPr>
        <w:tab/>
        <w:t>Comissão de Usuários</w:t>
      </w:r>
    </w:p>
    <w:p w14:paraId="74EE2E28" w14:textId="1D1C133B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b/>
          <w:bCs/>
          <w:sz w:val="24"/>
          <w:szCs w:val="24"/>
        </w:rPr>
        <w:t>Artigo 5º</w:t>
      </w:r>
      <w:r w:rsidRPr="00DB52CB">
        <w:rPr>
          <w:rFonts w:cstheme="minorHAnsi"/>
          <w:sz w:val="24"/>
          <w:szCs w:val="24"/>
        </w:rPr>
        <w:t xml:space="preserve"> - A Central Multiusuários será gerida pelo órgão executivo denominado Comitê Gestor, composto por um Presidente, um Vice‐</w:t>
      </w:r>
      <w:r w:rsidRPr="00DB52CB">
        <w:rPr>
          <w:rFonts w:cstheme="minorHAnsi"/>
          <w:sz w:val="24"/>
          <w:szCs w:val="24"/>
        </w:rPr>
        <w:t xml:space="preserve">Presidente, </w:t>
      </w:r>
      <w:r w:rsidRPr="00DB52CB">
        <w:rPr>
          <w:rFonts w:cstheme="minorHAnsi"/>
          <w:sz w:val="24"/>
          <w:szCs w:val="24"/>
        </w:rPr>
        <w:t>responsáveis pelos equipamentos e respectivos suplentes.</w:t>
      </w:r>
    </w:p>
    <w:p w14:paraId="3790F1F3" w14:textId="3429EDC7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1º ‐ Os membros do Comitê Gestor devem ser docentes ativos e terão mandato de 3 (três) anos, com direito a recondução consecutiva, referendada pela Congregação da Unidade.</w:t>
      </w:r>
    </w:p>
    <w:p w14:paraId="4E9ECB1F" w14:textId="14C3E851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 xml:space="preserve">§ 2º ‐ </w:t>
      </w:r>
      <w:r w:rsidRPr="00DB52CB">
        <w:rPr>
          <w:rFonts w:cstheme="minorHAnsi"/>
          <w:sz w:val="24"/>
          <w:szCs w:val="24"/>
        </w:rPr>
        <w:t>O Presidente</w:t>
      </w:r>
      <w:r w:rsidRPr="00DB52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DB52CB">
        <w:rPr>
          <w:rFonts w:cstheme="minorHAnsi"/>
          <w:sz w:val="24"/>
          <w:szCs w:val="24"/>
        </w:rPr>
        <w:t>erá substituído, em suas faltas, impedimentos e vacância pelo Vice‐ Presidente.</w:t>
      </w:r>
    </w:p>
    <w:p w14:paraId="3CE347EB" w14:textId="76C39C99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3</w:t>
      </w:r>
      <w:proofErr w:type="gramStart"/>
      <w:r w:rsidRPr="00DB52CB">
        <w:rPr>
          <w:rFonts w:cstheme="minorHAnsi"/>
          <w:sz w:val="24"/>
          <w:szCs w:val="24"/>
        </w:rPr>
        <w:t>º  -</w:t>
      </w:r>
      <w:proofErr w:type="gramEnd"/>
      <w:r w:rsidRPr="00DB52CB">
        <w:rPr>
          <w:rFonts w:cstheme="minorHAnsi"/>
          <w:sz w:val="24"/>
          <w:szCs w:val="24"/>
        </w:rPr>
        <w:t xml:space="preserve"> No caso de vacância simultânea das funções de Presidente e Vic</w:t>
      </w:r>
      <w:r>
        <w:rPr>
          <w:rFonts w:cstheme="minorHAnsi"/>
          <w:sz w:val="24"/>
          <w:szCs w:val="24"/>
        </w:rPr>
        <w:t>e</w:t>
      </w:r>
      <w:r w:rsidRPr="00DB52CB">
        <w:rPr>
          <w:rFonts w:cstheme="minorHAnsi"/>
          <w:sz w:val="24"/>
          <w:szCs w:val="24"/>
        </w:rPr>
        <w:t>‐presidente, o Diretor da Unidade poderá assumir temporariamente as funções de Presidente e tomará providências para indicação, pela Congregação ou órgão equivalente, para provimento desses cargos com mandato integral, no prazo máximo de 30 dias.</w:t>
      </w:r>
    </w:p>
    <w:p w14:paraId="764ACC2C" w14:textId="77777777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4º – Na vacância de Membro do Comitê Gestor ou de seu Suplente, caberá ao Comitê Gestor a indicação de novo membro, no prazo de 30 dias, à Congregação da Unidade, que deverá referendar a indicação.</w:t>
      </w:r>
    </w:p>
    <w:p w14:paraId="6864AD43" w14:textId="6C2B8629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b/>
          <w:bCs/>
          <w:sz w:val="24"/>
          <w:szCs w:val="24"/>
        </w:rPr>
        <w:lastRenderedPageBreak/>
        <w:t>Artigo 6º</w:t>
      </w:r>
      <w:r w:rsidRPr="00DB52CB">
        <w:rPr>
          <w:rFonts w:cstheme="minorHAnsi"/>
          <w:sz w:val="24"/>
          <w:szCs w:val="24"/>
        </w:rPr>
        <w:t xml:space="preserve"> -O Comitê Gestor da (</w:t>
      </w:r>
      <w:r w:rsidRPr="00DB52CB">
        <w:rPr>
          <w:rFonts w:cstheme="minorHAnsi"/>
          <w:sz w:val="24"/>
          <w:szCs w:val="24"/>
          <w:highlight w:val="green"/>
        </w:rPr>
        <w:t>NOME DA CENTRAL</w:t>
      </w:r>
      <w:r>
        <w:rPr>
          <w:rFonts w:cstheme="minorHAnsi"/>
          <w:sz w:val="24"/>
          <w:szCs w:val="24"/>
        </w:rPr>
        <w:t>)</w:t>
      </w:r>
      <w:r w:rsidRPr="00DB52CB">
        <w:rPr>
          <w:rFonts w:cstheme="minorHAnsi"/>
          <w:sz w:val="24"/>
          <w:szCs w:val="24"/>
        </w:rPr>
        <w:t xml:space="preserve"> é composto</w:t>
      </w:r>
      <w:r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por:</w:t>
      </w:r>
    </w:p>
    <w:p w14:paraId="37998D05" w14:textId="4D6388AE" w:rsidR="00DB52CB" w:rsidRPr="00DB52CB" w:rsidRDefault="00DB52CB" w:rsidP="00DB52CB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 xml:space="preserve">X docentes ativos e respectivos suplentes referendados pela Congregação da </w:t>
      </w:r>
      <w:r w:rsidRPr="00E65440">
        <w:rPr>
          <w:rFonts w:cstheme="minorHAnsi"/>
          <w:sz w:val="24"/>
          <w:szCs w:val="24"/>
          <w:highlight w:val="green"/>
        </w:rPr>
        <w:t>(NOME DA UNIDADE)</w:t>
      </w:r>
      <w:r w:rsidRPr="00E65440">
        <w:rPr>
          <w:rFonts w:cstheme="minorHAnsi"/>
          <w:sz w:val="24"/>
          <w:szCs w:val="24"/>
        </w:rPr>
        <w:t>;</w:t>
      </w:r>
    </w:p>
    <w:p w14:paraId="18C3C878" w14:textId="734285AA" w:rsidR="00DB52CB" w:rsidRPr="00DB52CB" w:rsidRDefault="00DB52CB" w:rsidP="00DB52CB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X servidores técnico‐administrativos pertencentes ao quadro da (</w:t>
      </w:r>
      <w:r w:rsidRPr="00DB52CB">
        <w:rPr>
          <w:rFonts w:cstheme="minorHAnsi"/>
          <w:sz w:val="24"/>
          <w:szCs w:val="24"/>
          <w:highlight w:val="green"/>
        </w:rPr>
        <w:t>NOME DA (S) UNIDADE(S)</w:t>
      </w:r>
      <w:r w:rsidRPr="002131AC">
        <w:rPr>
          <w:rFonts w:cstheme="minorHAnsi"/>
          <w:sz w:val="24"/>
          <w:szCs w:val="24"/>
        </w:rPr>
        <w:t>)</w:t>
      </w:r>
      <w:r w:rsidRPr="00DB52CB">
        <w:rPr>
          <w:rFonts w:cstheme="minorHAnsi"/>
          <w:sz w:val="24"/>
          <w:szCs w:val="24"/>
        </w:rPr>
        <w:t>.</w:t>
      </w:r>
    </w:p>
    <w:p w14:paraId="380AB9A7" w14:textId="7513C07C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Parágrafo único – Os nomes dos membros, suplentes, do Presidente e Vice‐Presidente do Comitê Gestor estão listados no sistema eletrônico da Pró-Reitoria de Pesquisa.</w:t>
      </w:r>
    </w:p>
    <w:p w14:paraId="058277AD" w14:textId="5290520A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3C3FA9">
        <w:rPr>
          <w:rFonts w:cstheme="minorHAnsi"/>
          <w:b/>
          <w:bCs/>
          <w:sz w:val="24"/>
          <w:szCs w:val="24"/>
        </w:rPr>
        <w:t>Artigo 7º</w:t>
      </w:r>
      <w:r w:rsidRPr="00DB52CB">
        <w:rPr>
          <w:rFonts w:cstheme="minorHAnsi"/>
          <w:sz w:val="24"/>
          <w:szCs w:val="24"/>
        </w:rPr>
        <w:t xml:space="preserve"> -</w:t>
      </w:r>
      <w:r w:rsidR="003C3FA9"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A Comissão de Usuários será formada para atuar como Órgão Regulador/Interlocutor da Central Multiusuários e será composto por:</w:t>
      </w:r>
    </w:p>
    <w:p w14:paraId="205D05A6" w14:textId="54588CA5" w:rsidR="00DB52CB" w:rsidRPr="00E65440" w:rsidRDefault="00DB52CB" w:rsidP="009178BD">
      <w:pPr>
        <w:pStyle w:val="Pargrafoda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E65440">
        <w:rPr>
          <w:rFonts w:cstheme="minorHAnsi"/>
          <w:sz w:val="24"/>
          <w:szCs w:val="24"/>
          <w:highlight w:val="green"/>
        </w:rPr>
        <w:t>Um ou mais representante (s) docente (s) e respectivo (s) suplente (s), pertencente à unidade sede da Central, referendado pela Congregação da Unidade ou órgão equivalente.</w:t>
      </w:r>
    </w:p>
    <w:p w14:paraId="2BAE6FB9" w14:textId="6736387A" w:rsidR="00DB52CB" w:rsidRPr="00E65440" w:rsidRDefault="009178BD" w:rsidP="009178BD">
      <w:pPr>
        <w:pStyle w:val="Pargrafoda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E65440">
        <w:rPr>
          <w:rFonts w:cstheme="minorHAnsi"/>
          <w:sz w:val="24"/>
          <w:szCs w:val="24"/>
          <w:highlight w:val="green"/>
        </w:rPr>
        <w:t xml:space="preserve">II. </w:t>
      </w:r>
      <w:r w:rsidR="00DB52CB" w:rsidRPr="00E65440">
        <w:rPr>
          <w:rFonts w:cstheme="minorHAnsi"/>
          <w:sz w:val="24"/>
          <w:szCs w:val="24"/>
          <w:highlight w:val="green"/>
        </w:rPr>
        <w:t>Um ou mais representante (s) docente (s) e respectivo (s) suplente (s) de Unidades de Ensino da USP, usuárias da Central Multiusuários, referendados pela Congregação da Unidade usuária.</w:t>
      </w:r>
    </w:p>
    <w:p w14:paraId="5E00CB72" w14:textId="4074F18D" w:rsidR="00DB52CB" w:rsidRPr="00E65440" w:rsidRDefault="00DB52CB" w:rsidP="009178BD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E65440">
        <w:rPr>
          <w:rFonts w:cstheme="minorHAnsi"/>
          <w:sz w:val="24"/>
          <w:szCs w:val="24"/>
          <w:highlight w:val="green"/>
        </w:rPr>
        <w:t>Um representante dos funcionários técnico</w:t>
      </w:r>
      <w:r w:rsidR="009178BD" w:rsidRPr="00E65440">
        <w:rPr>
          <w:rFonts w:cstheme="minorHAnsi"/>
          <w:sz w:val="24"/>
          <w:szCs w:val="24"/>
          <w:highlight w:val="green"/>
        </w:rPr>
        <w:t>-adm</w:t>
      </w:r>
      <w:r w:rsidRPr="00E65440">
        <w:rPr>
          <w:rFonts w:cstheme="minorHAnsi"/>
          <w:sz w:val="24"/>
          <w:szCs w:val="24"/>
          <w:highlight w:val="green"/>
        </w:rPr>
        <w:t>inistrativos da Central Multiusuários e respectivo suplente, referendados pela Congregação.</w:t>
      </w:r>
    </w:p>
    <w:p w14:paraId="41AF311C" w14:textId="1138924D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b/>
          <w:bCs/>
          <w:sz w:val="24"/>
          <w:szCs w:val="24"/>
        </w:rPr>
        <w:t>Parágrafo único</w:t>
      </w:r>
      <w:r w:rsidRPr="00DB52CB">
        <w:rPr>
          <w:rFonts w:cstheme="minorHAnsi"/>
          <w:sz w:val="24"/>
          <w:szCs w:val="24"/>
        </w:rPr>
        <w:t xml:space="preserve"> – Os nomes dos representantes e suplentes da Comissão de Usuários estão listados no sistema eletrônico da Pró-Reitoria de Pesquisa.</w:t>
      </w:r>
    </w:p>
    <w:p w14:paraId="72144A80" w14:textId="489BA8AB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 xml:space="preserve">§ 1º </w:t>
      </w:r>
      <w:r w:rsidR="009178BD">
        <w:rPr>
          <w:rFonts w:cstheme="minorHAnsi"/>
          <w:sz w:val="24"/>
          <w:szCs w:val="24"/>
        </w:rPr>
        <w:t xml:space="preserve">- </w:t>
      </w:r>
      <w:r w:rsidRPr="00DB52CB">
        <w:rPr>
          <w:rFonts w:cstheme="minorHAnsi"/>
          <w:sz w:val="24"/>
          <w:szCs w:val="24"/>
        </w:rPr>
        <w:t>Os mandatos do Representante e do Suplente serão independentes, com duração de 36 meses, com direito a recondução consecutiva, aprovada pela Congregação da Unidade.</w:t>
      </w:r>
    </w:p>
    <w:p w14:paraId="0F7AF655" w14:textId="583FF09B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2º -</w:t>
      </w:r>
      <w:r w:rsidR="009178BD"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O Representante será substituído, em suas faltas, impedimentos e vacância, pelo suplente.</w:t>
      </w:r>
    </w:p>
    <w:p w14:paraId="7B48C8A8" w14:textId="27FE5FB9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3º -</w:t>
      </w:r>
      <w:r w:rsidR="009178BD">
        <w:rPr>
          <w:rFonts w:cstheme="minorHAnsi"/>
          <w:sz w:val="24"/>
          <w:szCs w:val="24"/>
        </w:rPr>
        <w:t xml:space="preserve"> </w:t>
      </w:r>
      <w:r w:rsidRPr="00DB52CB">
        <w:rPr>
          <w:rFonts w:cstheme="minorHAnsi"/>
          <w:sz w:val="24"/>
          <w:szCs w:val="24"/>
        </w:rPr>
        <w:t>Na vacância do Representante ou de seu Suplente, caberá a Comissão de Usuários no prazo de 30 (trinta) dias, a indicação de novo membro, no prazo de 30 dias, à Congregação da Unidade, que deverá referendar a indicação.</w:t>
      </w:r>
    </w:p>
    <w:p w14:paraId="3246D48F" w14:textId="55CC508E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4º ‐ A Comissão de Usuários deverá se reportar ao Comitê Gestor nas reuniões especificadas no Artigo 8</w:t>
      </w:r>
      <w:r w:rsidR="009178BD" w:rsidRPr="00DB52CB">
        <w:rPr>
          <w:rFonts w:cstheme="minorHAnsi"/>
          <w:sz w:val="24"/>
          <w:szCs w:val="24"/>
        </w:rPr>
        <w:t>º.</w:t>
      </w:r>
    </w:p>
    <w:p w14:paraId="7E2F4BB5" w14:textId="58DB2F2F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b/>
          <w:bCs/>
          <w:sz w:val="24"/>
          <w:szCs w:val="24"/>
        </w:rPr>
        <w:t>Artigo 8º</w:t>
      </w:r>
      <w:r w:rsidRPr="00DB52CB">
        <w:rPr>
          <w:rFonts w:cstheme="minorHAnsi"/>
          <w:sz w:val="24"/>
          <w:szCs w:val="24"/>
        </w:rPr>
        <w:t>‐ O Comitê Gestor reunir-se‐á com a Comissão de Usuários periodicamente em sessões ordinárias semestrais e extraordinariamente quando necessário, a critério do Presidente do Comitê Gestor, ou por solicitação de 2/3 dos membros da Comissão de Usuários, devendo manter os registros dos atos das sessões, em ordem cronológica e numeradas.</w:t>
      </w:r>
    </w:p>
    <w:p w14:paraId="5C6496D7" w14:textId="61EC4F22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b/>
          <w:bCs/>
          <w:sz w:val="24"/>
          <w:szCs w:val="24"/>
        </w:rPr>
        <w:lastRenderedPageBreak/>
        <w:t>Artigo 9º</w:t>
      </w:r>
      <w:r w:rsidRPr="00DB52CB">
        <w:rPr>
          <w:rFonts w:cstheme="minorHAnsi"/>
          <w:sz w:val="24"/>
          <w:szCs w:val="24"/>
        </w:rPr>
        <w:t xml:space="preserve"> - São competências do Comitê Gestor:</w:t>
      </w:r>
    </w:p>
    <w:p w14:paraId="6585A949" w14:textId="673A0C47" w:rsidR="00DB52CB" w:rsidRPr="009178BD" w:rsidRDefault="009178BD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Administrar o</w:t>
      </w:r>
      <w:r w:rsidR="00DB52CB" w:rsidRPr="009178BD">
        <w:rPr>
          <w:rFonts w:cstheme="minorHAnsi"/>
          <w:sz w:val="24"/>
          <w:szCs w:val="24"/>
        </w:rPr>
        <w:t xml:space="preserve"> website da Central, próprio ou fornecido pela Pró‐Reitoria de Pesquisa, para gerenciamento dos serviços.</w:t>
      </w:r>
    </w:p>
    <w:p w14:paraId="7B25EC65" w14:textId="11946264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Supervisionar a garantia de acesso de forma igualitária e sem priorização aos serviços da Central Multiusuários.</w:t>
      </w:r>
    </w:p>
    <w:p w14:paraId="621D2F7A" w14:textId="0234DB3A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Controlar os agendamentos dos usuários e suas filiações que deverão ser feitas através do website, bem como a garantia de acesso aos serviços de acordo com a ordem de cadastramento da atividade no website.</w:t>
      </w:r>
    </w:p>
    <w:p w14:paraId="3B196B69" w14:textId="629F003D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Garantir a otimização e manutenção dos equipamentos da Central Multiusuários.</w:t>
      </w:r>
    </w:p>
    <w:p w14:paraId="3205C076" w14:textId="681F1CA3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Decidir sobre o procedimento de manutenção e conserto dos equipamentos, definindo critérios e prioridades na utilização das receitas.</w:t>
      </w:r>
    </w:p>
    <w:p w14:paraId="42B8D92B" w14:textId="2D7B48F1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Propiciar consultoria e apoio técnico aos pesquisadores para o uso dos serviços.</w:t>
      </w:r>
    </w:p>
    <w:p w14:paraId="0F4CAF8B" w14:textId="0C145783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Encaminhar ao CTA da Unidade, as propostas de fixação de taxas para custeio básico de manutenção e de reagentes elaboradas pelos coordenadores da Central Multiusuários.</w:t>
      </w:r>
    </w:p>
    <w:p w14:paraId="2467B663" w14:textId="1C74F407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Avaliar solicitações de inclusão de equipamento e serviços propostos pelos Departamentos e Unidades da Universidade.</w:t>
      </w:r>
    </w:p>
    <w:p w14:paraId="7CDE5919" w14:textId="43F22398" w:rsidR="00DB52CB" w:rsidRPr="009178BD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Apreciar os relatórios anuais das atividades, elaborados pelos responsáveis pelos equipamentos ou plataformas da Central Multiusuários.</w:t>
      </w:r>
    </w:p>
    <w:p w14:paraId="030CE616" w14:textId="6B16D4EA" w:rsidR="00DB52CB" w:rsidRPr="00DB52CB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Elaborar o relatório físico-­‐financeiro anual da Central Multiusuários para apreciação da Congregação da Unidade e para envio à Pró-­‐Reitoria de Pesquisa quando solicitado.</w:t>
      </w:r>
    </w:p>
    <w:p w14:paraId="5266E0E9" w14:textId="7ED6022B" w:rsidR="00DB52CB" w:rsidRPr="00DB52CB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Promover atividades de apoio ao ensino e treinamento técnico nas áreas de atuação.</w:t>
      </w:r>
    </w:p>
    <w:p w14:paraId="5716AD78" w14:textId="565BFEA8" w:rsidR="00DB52CB" w:rsidRPr="00DB52CB" w:rsidRDefault="00DB52CB" w:rsidP="009178BD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Elaborar projetos multiusuários e de manutenção de equipamentos, a serem submetidos às Agências de Fomento.</w:t>
      </w:r>
    </w:p>
    <w:p w14:paraId="3DB4649F" w14:textId="57103F47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b/>
          <w:bCs/>
          <w:sz w:val="24"/>
          <w:szCs w:val="24"/>
        </w:rPr>
        <w:t>Artigo 10º</w:t>
      </w:r>
      <w:r w:rsidRPr="00DB52CB">
        <w:rPr>
          <w:rFonts w:cstheme="minorHAnsi"/>
          <w:sz w:val="24"/>
          <w:szCs w:val="24"/>
        </w:rPr>
        <w:t xml:space="preserve"> - São competências da Comissão de Usuários:</w:t>
      </w:r>
    </w:p>
    <w:p w14:paraId="2547E65F" w14:textId="72B1EE66" w:rsidR="00DB52CB" w:rsidRPr="009178BD" w:rsidRDefault="00DB52CB" w:rsidP="009178BD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sz w:val="24"/>
          <w:szCs w:val="24"/>
        </w:rPr>
        <w:t>Avaliar o cumprimento da garantia de acesso dos usuários aos serviços das plataformas de apoio de forma igualitária.</w:t>
      </w:r>
    </w:p>
    <w:p w14:paraId="684F7DBA" w14:textId="3BF945DA" w:rsidR="00DB52CB" w:rsidRPr="00DB52CB" w:rsidRDefault="00DB52CB" w:rsidP="009178BD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Avaliar junto ao Comitê Gestor a fixação de valores para os serviços e uso de insumos e reagentes.</w:t>
      </w:r>
    </w:p>
    <w:p w14:paraId="5EC1F449" w14:textId="38767249" w:rsidR="00DB52CB" w:rsidRPr="00DB52CB" w:rsidRDefault="00DB52CB" w:rsidP="009178BD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Avaliar o andamento da Central Multiusuários frente a sugestões, reclamações e propostas vindas dos demais usuários do Central, por meio de questionários e pelo atendimento individualizado aos usuários quando solicitado por estes, desempenhando a função de Ouvidoria.</w:t>
      </w:r>
    </w:p>
    <w:p w14:paraId="22913E45" w14:textId="455E11FF" w:rsidR="00DB52CB" w:rsidRPr="00DB52CB" w:rsidRDefault="00DB52CB" w:rsidP="009178BD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Controle dos mandatos e procedimentos para indicação dos membros titulares e suplentes da Comissão de Usuários, de acordo com as regras contidas no Artigo 7º.</w:t>
      </w:r>
    </w:p>
    <w:p w14:paraId="033B6317" w14:textId="6A9239CF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b/>
          <w:bCs/>
          <w:sz w:val="24"/>
          <w:szCs w:val="24"/>
        </w:rPr>
        <w:lastRenderedPageBreak/>
        <w:t>Artigo 11º</w:t>
      </w:r>
      <w:r w:rsidRPr="00DB52CB">
        <w:rPr>
          <w:rFonts w:cstheme="minorHAnsi"/>
          <w:sz w:val="24"/>
          <w:szCs w:val="24"/>
        </w:rPr>
        <w:t xml:space="preserve"> - A Central Multiusuários não deve ter fins lucrativos, porém, deve cobrar valores que garantam os custos básicos para o funcionamento pleno dos equipamentos.</w:t>
      </w:r>
    </w:p>
    <w:p w14:paraId="11B3666A" w14:textId="2B2BEE0C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1º ‐ As planilhas de custos e as tabelas de valores a serem recolhidos serão elaboradas pela Comissão Gestora da Central Multiusuários e serão apreciadas no Conselho Técnico-­‐ Administrativo (CTA) da Unidade.</w:t>
      </w:r>
    </w:p>
    <w:p w14:paraId="24B38E08" w14:textId="07914CC2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2º - O recolhimento das taxas de cobrança pelo uso do(s) equipamento</w:t>
      </w:r>
      <w:r w:rsidR="009178BD">
        <w:rPr>
          <w:rFonts w:cstheme="minorHAnsi"/>
          <w:sz w:val="24"/>
          <w:szCs w:val="24"/>
        </w:rPr>
        <w:t>(</w:t>
      </w:r>
      <w:r w:rsidRPr="00DB52CB">
        <w:rPr>
          <w:rFonts w:cstheme="minorHAnsi"/>
          <w:sz w:val="24"/>
          <w:szCs w:val="24"/>
        </w:rPr>
        <w:t>s</w:t>
      </w:r>
      <w:r w:rsidR="009178BD">
        <w:rPr>
          <w:rFonts w:cstheme="minorHAnsi"/>
          <w:sz w:val="24"/>
          <w:szCs w:val="24"/>
        </w:rPr>
        <w:t>)</w:t>
      </w:r>
      <w:r w:rsidRPr="00DB52CB">
        <w:rPr>
          <w:rFonts w:cstheme="minorHAnsi"/>
          <w:sz w:val="24"/>
          <w:szCs w:val="24"/>
        </w:rPr>
        <w:t xml:space="preserve"> poderá ser feito através da FUSP (conforme normas estabelecidas pela Pró-Reitoria de Pesquisa), pelo setor de Tesouraria da Unidade ou por outras Fundações a ser especificado pela Comissão Gestora e autorizado pelo CTA da Unidade.</w:t>
      </w:r>
    </w:p>
    <w:p w14:paraId="54F0ECAF" w14:textId="04E06513" w:rsidR="00DB52CB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B52CB">
        <w:rPr>
          <w:rFonts w:cstheme="minorHAnsi"/>
          <w:sz w:val="24"/>
          <w:szCs w:val="24"/>
        </w:rPr>
        <w:t>§ 3º ‐ A Comissão deverá estipular valores diferenciados para Universidades públicas e entes privados.</w:t>
      </w:r>
    </w:p>
    <w:p w14:paraId="4D4EA0CA" w14:textId="5985FF77" w:rsidR="00233A06" w:rsidRPr="00DB52CB" w:rsidRDefault="00DB52CB" w:rsidP="00DB52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178BD">
        <w:rPr>
          <w:rFonts w:cstheme="minorHAnsi"/>
          <w:b/>
          <w:bCs/>
          <w:sz w:val="24"/>
          <w:szCs w:val="24"/>
        </w:rPr>
        <w:t>Artigo 12º</w:t>
      </w:r>
      <w:r w:rsidRPr="00DB52CB">
        <w:rPr>
          <w:rFonts w:cstheme="minorHAnsi"/>
          <w:sz w:val="24"/>
          <w:szCs w:val="24"/>
        </w:rPr>
        <w:t xml:space="preserve"> -As eventuais questões pendentes relacionadas à Central Multiusuários, bem como casos omissos nesta Portaria, terão como fóruns de resolução o Conselho Técnico‐ Administrativo, a Congregação ou órgão equivalente da Unidade e/ou a Pró-­‐Reitoria de Pesquisa.</w:t>
      </w:r>
    </w:p>
    <w:sectPr w:rsidR="00233A06" w:rsidRPr="00DB52CB" w:rsidSect="009178BD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BCB7" w14:textId="77777777" w:rsidR="00F84CF8" w:rsidRDefault="00F84CF8" w:rsidP="00DB52CB">
      <w:pPr>
        <w:spacing w:after="0" w:line="240" w:lineRule="auto"/>
      </w:pPr>
      <w:r>
        <w:separator/>
      </w:r>
    </w:p>
  </w:endnote>
  <w:endnote w:type="continuationSeparator" w:id="0">
    <w:p w14:paraId="56BFEF7E" w14:textId="77777777" w:rsidR="00F84CF8" w:rsidRDefault="00F84CF8" w:rsidP="00DB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6A91" w14:textId="77777777" w:rsidR="00F84CF8" w:rsidRDefault="00F84CF8" w:rsidP="00DB52CB">
      <w:pPr>
        <w:spacing w:after="0" w:line="240" w:lineRule="auto"/>
      </w:pPr>
      <w:r>
        <w:separator/>
      </w:r>
    </w:p>
  </w:footnote>
  <w:footnote w:type="continuationSeparator" w:id="0">
    <w:p w14:paraId="711EE01A" w14:textId="77777777" w:rsidR="00F84CF8" w:rsidRDefault="00F84CF8" w:rsidP="00DB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668"/>
      <w:gridCol w:w="7750"/>
    </w:tblGrid>
    <w:tr w:rsidR="00DB52CB" w:rsidRPr="00985706" w14:paraId="63DF3780" w14:textId="77777777" w:rsidTr="00AC76D6">
      <w:trPr>
        <w:jc w:val="center"/>
      </w:trPr>
      <w:tc>
        <w:tcPr>
          <w:tcW w:w="1668" w:type="dxa"/>
          <w:hideMark/>
        </w:tcPr>
        <w:p w14:paraId="6F84CE82" w14:textId="77777777" w:rsidR="00DB52CB" w:rsidRDefault="00DB52CB" w:rsidP="00DB52CB">
          <w:pPr>
            <w:spacing w:line="276" w:lineRule="auto"/>
            <w:rPr>
              <w:sz w:val="20"/>
              <w:szCs w:val="20"/>
            </w:rPr>
          </w:pPr>
          <w:r>
            <w:object w:dxaOrig="1440" w:dyaOrig="1440" w14:anchorId="690828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85pt;margin-top:.9pt;width:64.7pt;height:68.6pt;z-index:251659264" o:allowincell="f">
                <v:imagedata r:id="rId1" o:title=""/>
                <w10:wrap type="topAndBottom"/>
              </v:shape>
              <o:OLEObject Type="Embed" ProgID="MSPhotoEd.3" ShapeID="_x0000_s2049" DrawAspect="Content" ObjectID="_1684139050" r:id="rId2"/>
            </w:object>
          </w:r>
        </w:p>
      </w:tc>
      <w:tc>
        <w:tcPr>
          <w:tcW w:w="7750" w:type="dxa"/>
        </w:tcPr>
        <w:p w14:paraId="54F34930" w14:textId="77777777" w:rsidR="00DB52CB" w:rsidRDefault="00DB52CB" w:rsidP="00DB52CB">
          <w:pPr>
            <w:keepNext/>
            <w:spacing w:line="276" w:lineRule="auto"/>
            <w:jc w:val="right"/>
            <w:outlineLvl w:val="1"/>
            <w:rPr>
              <w:rFonts w:ascii="Arial" w:hAnsi="Arial"/>
              <w:b/>
            </w:rPr>
          </w:pPr>
        </w:p>
        <w:p w14:paraId="144B88F0" w14:textId="77777777" w:rsidR="00DB52CB" w:rsidRDefault="00DB52CB" w:rsidP="00DB52CB">
          <w:pPr>
            <w:keepNext/>
            <w:spacing w:line="276" w:lineRule="auto"/>
            <w:jc w:val="right"/>
            <w:outlineLvl w:val="1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UNIVERSIDADE DE SÃO PAULO</w:t>
          </w:r>
        </w:p>
        <w:p w14:paraId="30D11224" w14:textId="77777777" w:rsidR="00DB52CB" w:rsidRDefault="00DB52CB" w:rsidP="00DB52CB">
          <w:pPr>
            <w:keepNext/>
            <w:pBdr>
              <w:top w:val="single" w:sz="12" w:space="1" w:color="auto"/>
            </w:pBdr>
            <w:spacing w:line="276" w:lineRule="auto"/>
            <w:jc w:val="right"/>
            <w:outlineLvl w:val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</w:t>
          </w:r>
        </w:p>
        <w:p w14:paraId="3FACD11E" w14:textId="350D8F3B" w:rsidR="00DB52CB" w:rsidRDefault="00DB52CB" w:rsidP="00DB52CB">
          <w:pPr>
            <w:keepNext/>
            <w:pBdr>
              <w:top w:val="single" w:sz="12" w:space="1" w:color="auto"/>
            </w:pBdr>
            <w:spacing w:line="276" w:lineRule="auto"/>
            <w:jc w:val="right"/>
            <w:outlineLvl w:val="0"/>
          </w:pPr>
          <w:r>
            <w:rPr>
              <w:rFonts w:ascii="Arial" w:hAnsi="Arial"/>
            </w:rPr>
            <w:t>CENTRAL MULTIUSUÁRIO</w:t>
          </w:r>
        </w:p>
      </w:tc>
    </w:tr>
  </w:tbl>
  <w:p w14:paraId="7DFB040A" w14:textId="77777777" w:rsidR="00DB52CB" w:rsidRDefault="00DB52CB" w:rsidP="00DB5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B3F"/>
    <w:multiLevelType w:val="hybridMultilevel"/>
    <w:tmpl w:val="C8B2DDE8"/>
    <w:lvl w:ilvl="0" w:tplc="AE64B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3E7"/>
    <w:multiLevelType w:val="hybridMultilevel"/>
    <w:tmpl w:val="1BE43880"/>
    <w:lvl w:ilvl="0" w:tplc="D4902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36"/>
    <w:multiLevelType w:val="hybridMultilevel"/>
    <w:tmpl w:val="BB4CCE1E"/>
    <w:lvl w:ilvl="0" w:tplc="7A9E7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17F8"/>
    <w:multiLevelType w:val="hybridMultilevel"/>
    <w:tmpl w:val="61EE50DE"/>
    <w:lvl w:ilvl="0" w:tplc="0AEE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CB"/>
    <w:rsid w:val="001234E3"/>
    <w:rsid w:val="002131AC"/>
    <w:rsid w:val="00233A06"/>
    <w:rsid w:val="00254146"/>
    <w:rsid w:val="003C3FA9"/>
    <w:rsid w:val="009178BD"/>
    <w:rsid w:val="00DB52CB"/>
    <w:rsid w:val="00E65440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830765"/>
  <w15:chartTrackingRefBased/>
  <w15:docId w15:val="{137D12CE-4526-45E3-AB83-8C05505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2CB"/>
  </w:style>
  <w:style w:type="paragraph" w:styleId="Rodap">
    <w:name w:val="footer"/>
    <w:basedOn w:val="Normal"/>
    <w:link w:val="RodapChar"/>
    <w:uiPriority w:val="99"/>
    <w:unhideWhenUsed/>
    <w:rsid w:val="00DB5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2CB"/>
  </w:style>
  <w:style w:type="paragraph" w:styleId="PargrafodaLista">
    <w:name w:val="List Paragraph"/>
    <w:basedOn w:val="Normal"/>
    <w:uiPriority w:val="34"/>
    <w:qFormat/>
    <w:rsid w:val="00DB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Estrela</dc:creator>
  <cp:keywords/>
  <dc:description/>
  <cp:lastModifiedBy>Cleo Estrela</cp:lastModifiedBy>
  <cp:revision>3</cp:revision>
  <dcterms:created xsi:type="dcterms:W3CDTF">2021-06-02T14:08:00Z</dcterms:created>
  <dcterms:modified xsi:type="dcterms:W3CDTF">2021-06-02T14:38:00Z</dcterms:modified>
</cp:coreProperties>
</file>